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4419" w:rsidRPr="003314BF" w:rsidRDefault="002C4419" w:rsidP="002C4419">
      <w:pPr>
        <w:widowControl/>
        <w:spacing w:after="160" w:line="259" w:lineRule="auto"/>
        <w:ind w:firstLine="0"/>
        <w:jc w:val="center"/>
      </w:pPr>
      <w:bookmarkStart w:id="0" w:name="_Hlk159495204"/>
      <w:r w:rsidRPr="003314BF">
        <w:rPr>
          <w:b/>
          <w:bCs/>
        </w:rPr>
        <w:t>Порядок направления, рецензирования и опубликования статей</w:t>
      </w:r>
      <w:bookmarkEnd w:id="0"/>
      <w:r w:rsidRPr="003314BF">
        <w:rPr>
          <w:b/>
          <w:bCs/>
        </w:rPr>
        <w:t>, поступающих в редакцию научного журнала «</w:t>
      </w:r>
      <w:r>
        <w:rPr>
          <w:b/>
          <w:bCs/>
        </w:rPr>
        <w:t>Вестник Барнаульской духовной семинарии</w:t>
      </w:r>
      <w:r w:rsidRPr="003314BF">
        <w:rPr>
          <w:b/>
          <w:bCs/>
        </w:rPr>
        <w:t>»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1. Авторы высылают в адрес редакции или передают один экземпляр статьи (электронная и печатная версии). Электронные и печатные формы не возвращаются. Почтовый адрес: г. Барнаул, ул. пер. Ядринцева, д. 66. Электронный адрес: bds.nauchnayachast@mail.ru</w:t>
      </w:r>
    </w:p>
    <w:p w:rsidR="002C4419" w:rsidRDefault="002C4419" w:rsidP="002C4419">
      <w:pPr>
        <w:ind w:firstLine="0"/>
      </w:pPr>
      <w:r w:rsidRPr="003314BF">
        <w:t xml:space="preserve">2. Присылаемые материалы должны соответствовать одному из научных направлений (по отраслям наук), определяющему направленность (профильность) журнала: </w:t>
      </w:r>
      <w:r>
        <w:t xml:space="preserve">5.6. Исторические науки, 5.8. Педагогика, 5.10. Искусствоведение и культурология, 5.11. Теология. 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3. Рукопись принимается редакцией к рассмотрению, если она оформлена в соответствии с требованиями к предоставляемым рукописям.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4. Присылаемый материал регистрируется в редакции с указанием даты поступления, Ф.И.О. автора/авторов, контактов для взаимодействия, названия материала. Каждому материалу присваивается индивидуальный регистрационный номер.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 xml:space="preserve">5. Все статьи проверяются в программе </w:t>
      </w:r>
      <w:r>
        <w:t>«Антиплагиат»</w:t>
      </w:r>
      <w:r w:rsidRPr="003314BF">
        <w:t>. В случае высокого уровня заимствования материал будет отклонен. Статьи, содержащие менее 80% уникального текста, в журнале не публикуются.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6. Главный редактор и ответственный секретарь определяют соответствие статьи профилю журнала, требованиям к оформлению и направляют ее на рецензирование специалисту, доктору или кандидату наук, имеющему наиболее близкую к теме статьи научную специализацию и публикации в течение последних 3 лет по тематике рецензируемой статьи.</w:t>
      </w:r>
    </w:p>
    <w:p w:rsidR="002C4419" w:rsidRPr="003314BF" w:rsidRDefault="00442BA6" w:rsidP="002C4419">
      <w:pPr>
        <w:widowControl/>
        <w:spacing w:after="160" w:line="259" w:lineRule="auto"/>
        <w:ind w:firstLine="0"/>
      </w:pPr>
      <w:r>
        <w:t>7</w:t>
      </w:r>
      <w:r w:rsidR="002C4419" w:rsidRPr="003314BF">
        <w:t xml:space="preserve">. В рецензии отражается актуальность темы и оригинальность ее раскрытия, ее теоретическая или прикладная значимость; обоснованность сформулированных авторами выводов, </w:t>
      </w:r>
      <w:proofErr w:type="spellStart"/>
      <w:r w:rsidR="002C4419" w:rsidRPr="003314BF">
        <w:t>соотносимость</w:t>
      </w:r>
      <w:proofErr w:type="spellEnd"/>
      <w:r w:rsidR="002C4419" w:rsidRPr="003314BF">
        <w:t xml:space="preserve"> их с известными научно-методологическими подходами. Отмечается также логичность и доступность изложения, корректность использования привлекаемых источников.</w:t>
      </w:r>
    </w:p>
    <w:p w:rsidR="002C4419" w:rsidRPr="003314BF" w:rsidRDefault="00442BA6" w:rsidP="002C4419">
      <w:pPr>
        <w:widowControl/>
        <w:spacing w:after="160" w:line="259" w:lineRule="auto"/>
        <w:ind w:firstLine="0"/>
      </w:pPr>
      <w:r>
        <w:t>8</w:t>
      </w:r>
      <w:r w:rsidR="002C4419" w:rsidRPr="003314BF">
        <w:t>. На рассмотрение статьи рецензентам отводится 45 дней.</w:t>
      </w:r>
    </w:p>
    <w:p w:rsidR="002C4419" w:rsidRPr="003314BF" w:rsidRDefault="00442BA6" w:rsidP="002C4419">
      <w:pPr>
        <w:widowControl/>
        <w:spacing w:after="160" w:line="259" w:lineRule="auto"/>
        <w:ind w:firstLine="0"/>
      </w:pPr>
      <w:r>
        <w:t>9</w:t>
      </w:r>
      <w:r w:rsidR="002C4419" w:rsidRPr="003314BF">
        <w:t>. В журнале соблюдается регламент «слепого» (анонимного) рецензирования. Взаимодействие авторов и рецензентов осуществляется только через сотрудников редакции. Редакция оставляет за собой право (по согласованию с автором) на сокращение объема материала и его литературную правку, а также на отказ в публикации (на основании рецензии членов редакционной коллегии журнала), если статья не соответствует профилю журнала или имеет недостаточное качество изложения материала. В случае отклонения статьи редакция отправляет автору мотивированный отказ.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1</w:t>
      </w:r>
      <w:r w:rsidR="00442BA6">
        <w:t>0</w:t>
      </w:r>
      <w:r w:rsidRPr="003314BF">
        <w:t>. В случае рекомендации рецензентов по доработке рукописи автору/авторам в обязательном порядке направляется текст рецензии без указания данных рецензентов.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11. Статья, доработанная или переработанная авторами, повторно направляется на рецензирование вместе с ее первоначальным вариантом в максимально короткие сроки. Статья, задержанная на срок более одного месяца или требующая повторной переработки, рассматривается как вновь поступившая.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1</w:t>
      </w:r>
      <w:r w:rsidR="00442BA6">
        <w:t>2</w:t>
      </w:r>
      <w:r w:rsidRPr="003314BF">
        <w:t>. В случае несогласия с мнением рецензента автор статьи имеет право обратиться в редакцию с аргументированной просьбой о направлении его рукописи на рецензирование другому рецензенту. В этом случае редакция журнала направляет рукопись на повторное рецензирование, либо предоставляет автору мотивированный отказ.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lastRenderedPageBreak/>
        <w:t>1</w:t>
      </w:r>
      <w:r w:rsidR="00442BA6">
        <w:t>3</w:t>
      </w:r>
      <w:r w:rsidRPr="003314BF">
        <w:t>. Не принимаются к рассмотрению рукописи, ранее опубликованные в других научных изданиях.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1</w:t>
      </w:r>
      <w:r w:rsidR="00442BA6">
        <w:t>4</w:t>
      </w:r>
      <w:r w:rsidRPr="003314BF">
        <w:t>. Все рукописи, прошедшие рецензирование, вместе с отзывами рецензентов, ответами авторов и дополнительными рецензиями и заключениями рецензентов (если таковые имеются) рассматриваются на заседании Редколлегии. По результатам рассмотрения Редколлегия принимает решение: утвердить или отклонить для направления статьи на дополнительное рецензирование другому специалисту.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1</w:t>
      </w:r>
      <w:r w:rsidR="00442BA6">
        <w:t>5</w:t>
      </w:r>
      <w:r w:rsidRPr="003314BF">
        <w:t>. Статьи, утверждённые Редколлегией в печать, передаются в редакционно-издательскую группу для подготовки их к публикации.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1</w:t>
      </w:r>
      <w:r w:rsidR="00442BA6">
        <w:t>6</w:t>
      </w:r>
      <w:r w:rsidRPr="003314BF">
        <w:t>. После утверждения статей в печать возможна только их литературно-стилистическая и техническая правка, вносимая техническим редактором по согласованию с авторами статьи.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1</w:t>
      </w:r>
      <w:r w:rsidR="00442BA6">
        <w:t>7</w:t>
      </w:r>
      <w:r w:rsidRPr="003314BF">
        <w:t>. Рецензии и ответы авторов хранятся в архиве Журнала в течение пяти лет и могут быть переданы по запросу авторам рукописи, а также экспертным советам Высшей аттестационной комиссии Российской Федерации.</w:t>
      </w:r>
    </w:p>
    <w:p w:rsidR="002C4419" w:rsidRPr="003314BF" w:rsidRDefault="00442BA6" w:rsidP="002C4419">
      <w:pPr>
        <w:widowControl/>
        <w:spacing w:after="160" w:line="259" w:lineRule="auto"/>
        <w:ind w:firstLine="0"/>
      </w:pPr>
      <w:r>
        <w:t>18</w:t>
      </w:r>
      <w:r w:rsidR="002C4419" w:rsidRPr="003314BF">
        <w:t>. Плата с авторов за рецензирование статей не взимается.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b/>
          <w:bCs/>
        </w:rPr>
        <w:t>Требования к научной статье: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По содержанию статьи: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К печати принимаются материалы, содержащие результаты самостоятельных научных исследований авторов по тематике, отвечающей профилю журнала, и не публиковавшиеся ранее в других изданиях.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• Соответствие темы и содержания. Заявленная тема работы должна быть раскрыта в основной части статьи.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• Научность. Включает в себя способы исследования, систематизацию и корректировку новых и полученных ранее знаний. Выводы делаются с помощью правил и принципов рассуждения. Базой получения данных являются наблюдения и эксперименты.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• Новизна и оригинальность. Автором предлагается новая идея, технология, способ или метод.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• Практичность. Возможность переноса опыта, разработок или методик в практическую деятельность других профессионалов.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• Методичность. Наличие в статье полезных рекомендаций (системность, последовательность, планомерность).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• Убедительность. Достоверность цитат, аргументированность выводов, наличие статистических результатов и логичность.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• Логичность. Наличие смысловых связей между последовательными единицами (блоками) текста.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• Ясность. Понятность терминов и объяснение терминов (наличие ссылок на словари или автора термина). Основной текст статьи содержит: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• Вводная часть и новизна. Значение исследуемых научных фактов в теории и практике; новое решение научной задачи.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• Данные о методике исследования. Собственное научное исследование и предыдущие исследования, использованные автором в данной статье. Приводятся основные положения, мысли, которые будут в дальнейшем подвергнуты анализу.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lastRenderedPageBreak/>
        <w:t>• Экспериментальная часть, анализ, обобщение и разъяснение собственных данных или сравнение теорий.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• Выводы и рекомендации. Ответы на вопросы, поставленные вводной частью, демонстрация выводов. Можно представить результаты в наглядной форме: в виде таблиц, графиков, диаграмм.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Отбор и структурирование содержания материалов желательно производить исходя из интересов широкого круга читателей, а не только специалистов узкого профиля.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i/>
        </w:rPr>
      </w:pPr>
      <w:r w:rsidRPr="003314BF">
        <w:rPr>
          <w:b/>
          <w:i/>
        </w:rPr>
        <w:t>По техническому оформлению:</w:t>
      </w:r>
    </w:p>
    <w:p w:rsidR="002C4419" w:rsidRPr="003314BF" w:rsidRDefault="002C4419" w:rsidP="002C4419">
      <w:pPr>
        <w:widowControl/>
        <w:numPr>
          <w:ilvl w:val="0"/>
          <w:numId w:val="5"/>
        </w:numPr>
        <w:spacing w:after="160" w:line="259" w:lineRule="auto"/>
        <w:ind w:left="284" w:hanging="284"/>
      </w:pPr>
      <w:r w:rsidRPr="003314BF">
        <w:t>В редакцию представляются печатный и электронный варианты.</w:t>
      </w:r>
    </w:p>
    <w:p w:rsidR="002C4419" w:rsidRPr="003314BF" w:rsidRDefault="002C4419" w:rsidP="002C4419">
      <w:pPr>
        <w:widowControl/>
        <w:numPr>
          <w:ilvl w:val="0"/>
          <w:numId w:val="5"/>
        </w:numPr>
        <w:spacing w:after="160" w:line="259" w:lineRule="auto"/>
        <w:ind w:left="284" w:hanging="284"/>
      </w:pPr>
      <w:r w:rsidRPr="003314BF">
        <w:t xml:space="preserve">Минимальная уникальность текста — 80%. Редакция использует программу </w:t>
      </w:r>
      <w:r>
        <w:t>Антиплагиат</w:t>
      </w:r>
      <w:r w:rsidRPr="003314BF">
        <w:t>. Текст должен быть нигде ранее не опубликованным.</w:t>
      </w:r>
    </w:p>
    <w:p w:rsidR="002C4419" w:rsidRPr="003314BF" w:rsidRDefault="002C4419" w:rsidP="002C4419">
      <w:pPr>
        <w:widowControl/>
        <w:numPr>
          <w:ilvl w:val="0"/>
          <w:numId w:val="5"/>
        </w:numPr>
        <w:spacing w:after="160" w:line="259" w:lineRule="auto"/>
        <w:ind w:left="284" w:hanging="284"/>
      </w:pPr>
      <w:r w:rsidRPr="003314BF">
        <w:t xml:space="preserve">Общий объем — от </w:t>
      </w:r>
      <w:r>
        <w:t>6</w:t>
      </w:r>
      <w:r w:rsidRPr="003314BF">
        <w:t xml:space="preserve"> до 1</w:t>
      </w:r>
      <w:r>
        <w:t>2</w:t>
      </w:r>
      <w:r w:rsidRPr="003314BF">
        <w:t xml:space="preserve"> страниц. Формат листа — А4. Поля: верхнее — 2 см, левое — 3 см, нижнее — 2 см, правое — 1,5 см. Шрифт — Times New </w:t>
      </w:r>
      <w:proofErr w:type="spellStart"/>
      <w:r w:rsidRPr="003314BF">
        <w:t>Roman</w:t>
      </w:r>
      <w:proofErr w:type="spellEnd"/>
      <w:r w:rsidRPr="003314BF">
        <w:t>, 12 пт. Межстрочный интервал — одинарный. Изображения, вставленные в текст, должны быть приложены отдельными файлами. Вся статья должна быть оформлена в соответствии с требованиями ГОСТ (см. Приложение).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4. Первая страница текста должна содержать следующую информацию сначала на русском языке, затем на английском: сведения об авторе(ах), тема статьи, аннотация, ключевые слова.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5. Авторы несут ответственность за подбор и достоверность приведенных фактов, цитат, статистических данных, собственных имен и прочих сведений.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6. Редакция оставляет за собой право на сокращение объема материала и его литературную правку, а также на отказ в публикации, если статья не соответствует профилю журнала или имеет низкое качество изложения материала, или является заимствованной.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bCs/>
        </w:rPr>
      </w:pPr>
      <w:r w:rsidRPr="003314BF">
        <w:rPr>
          <w:b/>
          <w:bCs/>
        </w:rPr>
        <w:t>Приложение 1. Оформление текста статьи</w:t>
      </w:r>
    </w:p>
    <w:p w:rsidR="002C4419" w:rsidRPr="00094A26" w:rsidRDefault="002C4419" w:rsidP="002C4419">
      <w:pPr>
        <w:widowControl/>
        <w:spacing w:after="160" w:line="259" w:lineRule="auto"/>
        <w:ind w:firstLine="0"/>
        <w:rPr>
          <w:b/>
        </w:rPr>
      </w:pPr>
      <w:r w:rsidRPr="003314BF">
        <w:rPr>
          <w:b/>
          <w:i/>
        </w:rPr>
        <w:t>Фамилия</w:t>
      </w:r>
      <w:r w:rsidRPr="00094A26">
        <w:rPr>
          <w:b/>
          <w:i/>
        </w:rPr>
        <w:t>(</w:t>
      </w:r>
      <w:r w:rsidRPr="003314BF">
        <w:rPr>
          <w:b/>
          <w:i/>
        </w:rPr>
        <w:t>и</w:t>
      </w:r>
      <w:r w:rsidRPr="00094A26">
        <w:rPr>
          <w:b/>
          <w:i/>
        </w:rPr>
        <w:t xml:space="preserve">) </w:t>
      </w:r>
      <w:r w:rsidRPr="003314BF">
        <w:rPr>
          <w:b/>
          <w:i/>
        </w:rPr>
        <w:t>И</w:t>
      </w:r>
      <w:r w:rsidRPr="00094A26">
        <w:rPr>
          <w:b/>
          <w:i/>
        </w:rPr>
        <w:t xml:space="preserve">. </w:t>
      </w:r>
      <w:r w:rsidRPr="003314BF">
        <w:rPr>
          <w:b/>
          <w:i/>
        </w:rPr>
        <w:t>О</w:t>
      </w:r>
      <w:r w:rsidRPr="00094A26">
        <w:rPr>
          <w:b/>
          <w:i/>
        </w:rPr>
        <w:t xml:space="preserve">. </w:t>
      </w:r>
      <w:r w:rsidRPr="003314BF">
        <w:rPr>
          <w:b/>
        </w:rPr>
        <w:t>Тема</w:t>
      </w:r>
      <w:r w:rsidRPr="00094A26">
        <w:rPr>
          <w:b/>
        </w:rPr>
        <w:t xml:space="preserve"> / </w:t>
      </w:r>
      <w:r w:rsidRPr="003314BF">
        <w:rPr>
          <w:b/>
          <w:i/>
          <w:lang w:val="en-US"/>
        </w:rPr>
        <w:t>Surname</w:t>
      </w:r>
      <w:r w:rsidRPr="00094A26">
        <w:rPr>
          <w:b/>
          <w:i/>
        </w:rPr>
        <w:t xml:space="preserve"> </w:t>
      </w:r>
      <w:r w:rsidRPr="003314BF">
        <w:rPr>
          <w:b/>
          <w:i/>
          <w:lang w:val="en-US"/>
        </w:rPr>
        <w:t>N</w:t>
      </w:r>
      <w:r w:rsidRPr="00094A26">
        <w:rPr>
          <w:b/>
          <w:i/>
        </w:rPr>
        <w:t xml:space="preserve">. </w:t>
      </w:r>
      <w:r w:rsidRPr="003314BF">
        <w:rPr>
          <w:b/>
          <w:i/>
          <w:lang w:val="en-US"/>
        </w:rPr>
        <w:t>S</w:t>
      </w:r>
      <w:r w:rsidRPr="00094A26">
        <w:rPr>
          <w:b/>
          <w:i/>
        </w:rPr>
        <w:t xml:space="preserve">. </w:t>
      </w:r>
      <w:r w:rsidRPr="003314BF">
        <w:rPr>
          <w:b/>
          <w:lang w:val="en-US"/>
        </w:rPr>
        <w:t>Topic</w:t>
      </w:r>
      <w:r w:rsidRPr="00094A26">
        <w:rPr>
          <w:b/>
        </w:rPr>
        <w:t xml:space="preserve"> </w:t>
      </w:r>
      <w:r w:rsidRPr="003314BF">
        <w:rPr>
          <w:b/>
          <w:lang w:val="en-US"/>
        </w:rPr>
        <w:t>of</w:t>
      </w:r>
      <w:r w:rsidRPr="00094A26">
        <w:rPr>
          <w:b/>
        </w:rPr>
        <w:t xml:space="preserve"> </w:t>
      </w:r>
      <w:r w:rsidRPr="003314BF">
        <w:rPr>
          <w:b/>
          <w:lang w:val="en-US"/>
        </w:rPr>
        <w:t>the</w:t>
      </w:r>
      <w:r w:rsidRPr="00094A26">
        <w:rPr>
          <w:b/>
        </w:rPr>
        <w:t xml:space="preserve"> </w:t>
      </w:r>
      <w:r w:rsidRPr="003314BF">
        <w:rPr>
          <w:b/>
          <w:lang w:val="en-US"/>
        </w:rPr>
        <w:t>article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</w:rPr>
      </w:pPr>
      <w:r w:rsidRPr="003314BF">
        <w:rPr>
          <w:b/>
        </w:rPr>
        <w:t>Сведения об авторе(ах)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Фамилия Имя Отчество, Организация (</w:t>
      </w:r>
      <w:r w:rsidRPr="003314BF">
        <w:rPr>
          <w:i/>
        </w:rPr>
        <w:t>необходимо здесь указать официальное название учреждения</w:t>
      </w:r>
      <w:r w:rsidRPr="003314BF">
        <w:t>), Страна, Город (</w:t>
      </w:r>
      <w:r w:rsidRPr="003314BF">
        <w:rPr>
          <w:i/>
        </w:rPr>
        <w:t>например, Россия, г. Барнаул</w:t>
      </w:r>
      <w:r w:rsidRPr="003314BF">
        <w:t xml:space="preserve">); </w:t>
      </w:r>
      <w:proofErr w:type="spellStart"/>
      <w:r w:rsidRPr="003314BF">
        <w:t>e-mail</w:t>
      </w:r>
      <w:proofErr w:type="spellEnd"/>
      <w:r w:rsidRPr="003314BF">
        <w:t>: example@mail.ru; Индекс, Страна, Край, Город, Улица, Дом.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(если авторов несколько:)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 xml:space="preserve">Фамилия2 Имя2 Отчество2 </w:t>
      </w:r>
      <w:r w:rsidRPr="003314BF">
        <w:rPr>
          <w:i/>
        </w:rPr>
        <w:t>(организацию и адрес второй раз указывать не нужно, если они совпадают с данными о первом авторе)</w:t>
      </w:r>
      <w:r w:rsidRPr="003314BF">
        <w:t xml:space="preserve">, </w:t>
      </w:r>
      <w:proofErr w:type="spellStart"/>
      <w:r w:rsidRPr="003314BF">
        <w:t>e-mail</w:t>
      </w:r>
      <w:proofErr w:type="spellEnd"/>
      <w:r w:rsidRPr="003314BF">
        <w:t>: example@mail.ru; должность.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</w:rPr>
      </w:pPr>
      <w:r w:rsidRPr="003314BF">
        <w:rPr>
          <w:b/>
        </w:rPr>
        <w:t>Аннотация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r w:rsidRPr="003314BF">
        <w:rPr>
          <w:i/>
        </w:rPr>
        <w:t>Общий объем аннотации — 70–160 слов.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r w:rsidRPr="003314BF">
        <w:rPr>
          <w:i/>
        </w:rPr>
        <w:t>1. Вступление.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r w:rsidRPr="003314BF">
        <w:rPr>
          <w:i/>
        </w:rPr>
        <w:t>В статье рассмотрены… (проанализированы, описаны, изложены, исследованы) следующие аспекты (вопросы, проблемы…)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r w:rsidRPr="003314BF">
        <w:rPr>
          <w:i/>
        </w:rPr>
        <w:t>Объем — 10–30 слов.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r w:rsidRPr="003314BF">
        <w:rPr>
          <w:i/>
        </w:rPr>
        <w:t>2. Основная часть.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r w:rsidRPr="003314BF">
        <w:rPr>
          <w:i/>
        </w:rPr>
        <w:t>Объем — 50–100 слов.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r w:rsidRPr="003314BF">
        <w:rPr>
          <w:i/>
        </w:rPr>
        <w:lastRenderedPageBreak/>
        <w:t>3. Заключение.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r w:rsidRPr="003314BF">
        <w:rPr>
          <w:i/>
        </w:rPr>
        <w:t>Автор делает вывод… (приходит к заключению…) В заключение делается вывод…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i/>
        </w:rPr>
        <w:t>Объем — 10–30 слов</w:t>
      </w:r>
      <w:r w:rsidRPr="003314BF">
        <w:t>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</w:rPr>
      </w:pPr>
      <w:r w:rsidRPr="003314BF">
        <w:rPr>
          <w:b/>
        </w:rPr>
        <w:t>Ключевые</w:t>
      </w:r>
      <w:r w:rsidRPr="003314BF">
        <w:t xml:space="preserve"> </w:t>
      </w:r>
      <w:r w:rsidRPr="003314BF">
        <w:rPr>
          <w:b/>
        </w:rPr>
        <w:t>слова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i/>
        </w:rPr>
        <w:t xml:space="preserve">Ключевые слова — это общепринятые понятия, которые описывают целую тему. 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lang w:val="en-US"/>
        </w:rPr>
      </w:pPr>
      <w:r w:rsidRPr="003314BF">
        <w:rPr>
          <w:b/>
          <w:lang w:val="en-US"/>
        </w:rPr>
        <w:t>About the author(s)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lang w:val="en-US"/>
        </w:rPr>
      </w:pPr>
      <w:r w:rsidRPr="003314BF">
        <w:rPr>
          <w:lang w:val="en-US"/>
        </w:rPr>
        <w:t>Surname Name Middle Name, Organization, Country, City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</w:rPr>
      </w:pPr>
      <w:r w:rsidRPr="003314BF">
        <w:rPr>
          <w:b/>
          <w:lang w:val="en-US"/>
        </w:rPr>
        <w:t>Annotation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</w:rPr>
      </w:pPr>
      <w:r w:rsidRPr="003314BF">
        <w:rPr>
          <w:b/>
          <w:lang w:val="en-US"/>
        </w:rPr>
        <w:t>Keywords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r w:rsidRPr="003314BF">
        <w:rPr>
          <w:i/>
        </w:rPr>
        <w:t>&lt;Текст статьи здесь&gt; (</w:t>
      </w:r>
      <w:r>
        <w:rPr>
          <w:i/>
        </w:rPr>
        <w:t>от 6 до 12</w:t>
      </w:r>
      <w:r w:rsidRPr="003314BF">
        <w:rPr>
          <w:i/>
        </w:rPr>
        <w:t xml:space="preserve"> страниц 12-м кеглем, тема, аннотация и список литературы не считаются)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</w:rPr>
      </w:pPr>
      <w:r w:rsidRPr="003314BF">
        <w:rPr>
          <w:b/>
        </w:rPr>
        <w:t>Список литературы</w:t>
      </w:r>
    </w:p>
    <w:p w:rsidR="002C4419" w:rsidRPr="003314BF" w:rsidRDefault="002C4419" w:rsidP="002C4419">
      <w:pPr>
        <w:widowControl/>
        <w:numPr>
          <w:ilvl w:val="0"/>
          <w:numId w:val="4"/>
        </w:numPr>
        <w:spacing w:after="160" w:line="259" w:lineRule="auto"/>
      </w:pPr>
      <w:r w:rsidRPr="003314BF">
        <w:rPr>
          <w:i/>
        </w:rPr>
        <w:t>Фамилия, И. О.</w:t>
      </w:r>
      <w:r w:rsidRPr="003314BF">
        <w:t xml:space="preserve"> Название…</w:t>
      </w:r>
    </w:p>
    <w:p w:rsidR="002C4419" w:rsidRPr="003314BF" w:rsidRDefault="002C4419" w:rsidP="002C4419">
      <w:pPr>
        <w:widowControl/>
        <w:numPr>
          <w:ilvl w:val="0"/>
          <w:numId w:val="4"/>
        </w:numPr>
        <w:spacing w:after="160" w:line="259" w:lineRule="auto"/>
      </w:pPr>
      <w:r w:rsidRPr="003314BF">
        <w:rPr>
          <w:i/>
        </w:rPr>
        <w:t>Фамилия, И. О.</w:t>
      </w:r>
      <w:r w:rsidRPr="003314BF">
        <w:t xml:space="preserve"> Название…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bCs/>
        </w:rPr>
      </w:pPr>
      <w:r w:rsidRPr="003314BF">
        <w:rPr>
          <w:b/>
          <w:bCs/>
        </w:rPr>
        <w:t>Требования ГОСТ к оформлению текста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bookmarkStart w:id="1" w:name="_Toc38630225"/>
      <w:r w:rsidRPr="003314BF">
        <w:t xml:space="preserve">Ссылки оформляются в следующем виде: [1, с. 2], где 1 — это номер издания в </w:t>
      </w:r>
      <w:proofErr w:type="spellStart"/>
      <w:r w:rsidRPr="003314BF">
        <w:t>пристатейном</w:t>
      </w:r>
      <w:proofErr w:type="spellEnd"/>
      <w:r w:rsidRPr="003314BF">
        <w:t xml:space="preserve"> списке литературы, 2 — страница в нем, при наличии (ее может не быть при ссылке на издание в целом, а также при ссылке на электронный ресурс). Несколько изданий в одной ссылке разделяются точкой с запятой: [1, с. 2; 3, с. 4; 6].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 xml:space="preserve">Шрифт текста — </w:t>
      </w:r>
      <w:r w:rsidRPr="003314BF">
        <w:rPr>
          <w:lang w:val="en-US"/>
        </w:rPr>
        <w:t>Times</w:t>
      </w:r>
      <w:r w:rsidRPr="003314BF">
        <w:t xml:space="preserve"> </w:t>
      </w:r>
      <w:r w:rsidRPr="003314BF">
        <w:rPr>
          <w:lang w:val="en-US"/>
        </w:rPr>
        <w:t>New</w:t>
      </w:r>
      <w:r w:rsidRPr="003314BF">
        <w:t xml:space="preserve"> </w:t>
      </w:r>
      <w:r w:rsidRPr="003314BF">
        <w:rPr>
          <w:lang w:val="en-US"/>
        </w:rPr>
        <w:t>Roman</w:t>
      </w:r>
      <w:r w:rsidRPr="003314BF">
        <w:t>, кегль (размер) (кроме таблицы) — 12 пт.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Основные абзацы (кроме таблицы) выровнены по ширине, имеют красную строку (отступ первой строки) 1,25 см, междустрочный интервал 1 строка, отступы всего абзаца и интервалы между ними — строго нулевые.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b/>
          <w:i/>
        </w:rPr>
        <w:t>Таблицы</w:t>
      </w:r>
      <w:r w:rsidRPr="003314BF">
        <w:t xml:space="preserve"> применяют для лучшей наглядности и удобства сравнения показателей. Текст в таблице имеет размер 10 пт. Абзацы таблицы не имеют красной строки, отступов, интервалов, межстрочный интервал — одинарный, выравнивание — по ситуации. Название таблицы должно отражать ее содержание, быть точным, кратким. Название следует помещать над таблицей, через пробел, широкое тире и пробел после номера таблицы, например: Таблица 1 — Название таблицы. Точка в конце подписи не ставится. Абзац подписи таблицы выравнивается по левому краю без отступа первой строки.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Таблицы следует нумеровать арабскими цифрами сквозной нумерацией.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На все таблицы должны быть приведены ссылки в тексте, при ссылке следует писать слово «таблица» с указанием ее номера: «…что отражено в таблице 1».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Заголовки граф и строк таблицы следует писать с прописной буквы,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Таблицы слева, справа, сверху и снизу ограничивают линиями.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Разделять заголовки и подзаголовки боковика и граф диагональными линиями не допускается.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lastRenderedPageBreak/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Высота строк таблицы должна быть не менее 8 мм.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Таблицу, в зависимости от ее размера, помещают под текстом, в котором впервые дана ссылка на нее, или на следующей странице.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Допускается помещать таблицу вдоль длинной стороны листа документа.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первую строку с заголовками граф и боковик (если переносится правая часть таблицы, а не нижняя). При делении таблицы на части при крайней необходимости допускается ее первую строку с заголовками граф или боковик заменять соответственно номером граф и строк. При этом нумеруют арабскими цифрами графы и (или) строки и первой части таблицы.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Заголовок таблицы «Таблица 1 — Название таблицы» указывают один раз слева над первой частью таблицы, над другими частями пишут слова «Продолжение таблицы 1» (где 1 — это указание номера таблицы.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Заменять кавычками повторяющиеся в таблице цифры, математические знаки, знаки процента и номера, обозначение марок материалов и типоразмеров изделий, обозначения нормативных документов не допускается.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В интервале, охватывающем числа ряда, между крайними числами ряда в таблице допускается ставить тире.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b/>
          <w:i/>
        </w:rPr>
        <w:t>Формулы и уравнения</w:t>
      </w:r>
      <w:r w:rsidRPr="003314BF">
        <w:t>. В формулах в качестве символов следует применять обозначения, установленные соответствующими государственными стандартами. Каждый символ должен иметь установленное стандартом или нормативными документами наименование. Наименование записывают перед символом со ссылкой на использованный литературный источник, например: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— коэффициент избытка воздуха в топочной камере [1, с. 2] α</w:t>
      </w:r>
      <w:r w:rsidRPr="003314BF">
        <w:rPr>
          <w:vertAlign w:val="subscript"/>
        </w:rPr>
        <w:t xml:space="preserve">т </w:t>
      </w:r>
      <w:r w:rsidRPr="003314BF">
        <w:t>= 1,2;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 xml:space="preserve">— энтальпия газов после пароперегревателя (таблица 5) </w:t>
      </w:r>
      <w:r w:rsidRPr="003314BF">
        <w:rPr>
          <w:noProof/>
          <w:lang w:eastAsia="ru-RU"/>
        </w:rPr>
        <w:drawing>
          <wp:inline distT="0" distB="0" distL="0" distR="0">
            <wp:extent cx="6572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BF">
        <w:t>кДж/кг.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Пояснение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Пояснение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 xml:space="preserve">Скорость газов </w:t>
      </w:r>
      <w:r w:rsidRPr="003314BF">
        <w:rPr>
          <w:i/>
          <w:lang w:val="en-US"/>
        </w:rPr>
        <w:t>W</w:t>
      </w:r>
      <w:r w:rsidRPr="003314BF">
        <w:rPr>
          <w:i/>
          <w:vertAlign w:val="subscript"/>
        </w:rPr>
        <w:t>г</w:t>
      </w:r>
      <w:r w:rsidRPr="003314BF">
        <w:t>, м/с, вычисляют по формуле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noProof/>
          <w:lang w:eastAsia="ru-RU"/>
        </w:rPr>
        <w:drawing>
          <wp:inline distT="0" distB="0" distL="0" distR="0">
            <wp:extent cx="5238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4BF">
        <w:t xml:space="preserve"> (1),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 xml:space="preserve">где </w:t>
      </w:r>
      <w:r w:rsidRPr="003314BF">
        <w:rPr>
          <w:i/>
          <w:lang w:val="en-US"/>
        </w:rPr>
        <w:t>V</w:t>
      </w:r>
      <w:r w:rsidRPr="003314BF">
        <w:rPr>
          <w:i/>
          <w:vertAlign w:val="subscript"/>
        </w:rPr>
        <w:t>г</w:t>
      </w:r>
      <w:r w:rsidRPr="003314BF">
        <w:tab/>
        <w:t xml:space="preserve"> — объем газов, м</w:t>
      </w:r>
      <w:r w:rsidRPr="003314BF">
        <w:rPr>
          <w:vertAlign w:val="superscript"/>
        </w:rPr>
        <w:t>3</w:t>
      </w:r>
      <w:r w:rsidRPr="003314BF">
        <w:t>/с;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i/>
          <w:lang w:val="en-US"/>
        </w:rPr>
        <w:t>f</w:t>
      </w:r>
      <w:r w:rsidRPr="003314BF">
        <w:rPr>
          <w:i/>
          <w:vertAlign w:val="subscript"/>
        </w:rPr>
        <w:t>г</w:t>
      </w:r>
      <w:r w:rsidRPr="003314BF">
        <w:t xml:space="preserve"> — площадь живого сечения для прохода газов, м</w:t>
      </w:r>
      <w:r w:rsidRPr="003314BF">
        <w:rPr>
          <w:vertAlign w:val="superscript"/>
        </w:rPr>
        <w:t>2</w:t>
      </w:r>
      <w:r w:rsidRPr="003314BF">
        <w:t>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Переносить формулы на следующую строку допускается только на знаках выполняемых операций, причем знак в начале следующей строки повторяют.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Формулы должны нумероваться сквозной нумерацией арабскими цифрами, которые записывают в круглых скобках на уровне формулы справа, в конце строки.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lastRenderedPageBreak/>
        <w:t>Ссылки в тексте на порядковые номера формул дают в скобках, например: «… в формуле (1)».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b/>
          <w:i/>
        </w:rPr>
        <w:t>Иллюстрации</w:t>
      </w:r>
      <w:r w:rsidRPr="003314BF">
        <w:t>. Количество иллюстраций должно быть достаточным для пояснения излагаемого текста (не слишком большим).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Все иллюстрации именуются рисунками и располагаются так, чтобы их удобно было рассматривать без поворота документа или с поворотом по часовой стрелке. Рисунки располагают на отдельных листах или непосредственно в тексте после первого упоминания. Выравнивают рисунки без отступов по центру.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Иллюстрации следует нумеровать арабскими цифрами сквозной нумерацией. Рисунок должен иметь название, которое располагается со строчной буквы после номера рисунка и отделяется от него пробелом, широким тире и еще одним пробелом. Например, если рисунок первый, то он обозначается «Рисунок 1 — Название рисунка».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Изображения вставляются в текст в таком виде, положение «в тексте», выравнивание по центру, без отступа первой строки, с подписью: Рисунок 1 — Название рисунка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r w:rsidRPr="003314BF">
        <w:t xml:space="preserve">На рисунок обязательна ссылка в статье: «… изображено на рисунке 1» или «(см. рисунок 1)». Изображение располагается в тексте сразу после абзаца, в котором приведена ссылка на рисунок. Исходные изображения прилагаются к статье с названиями по следующей форме: </w:t>
      </w:r>
      <w:r w:rsidRPr="003314BF">
        <w:rPr>
          <w:i/>
        </w:rPr>
        <w:t>Фамилия И. О. - Рисунок 1 - Название рисунка.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Иллюстрации, при необходимости, могут иметь пояснительные данные (подрисуночный текст).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 xml:space="preserve">Подрисуночные данные помещают под рисунком, подпись рисунка «Рисунок 1 — Название рисунка» помещают симметрично рисунку после подрисуночных данных (если они есть), выравнивают также, как рисунок, по центру, без отступов. Точка в конце подписи не ставится. 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При ссылках на иллюстрации следует писать: «...в соответствии с рисунком 2».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r w:rsidRPr="003314BF">
        <w:t xml:space="preserve">Исходные изображения прилагаются отдельными файлами к статье с названиями по аналогии </w:t>
      </w:r>
      <w:r w:rsidRPr="003314BF">
        <w:rPr>
          <w:i/>
        </w:rPr>
        <w:t>Рисунок 1 — Название рисунка.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Списки с маркерами, с тире или нумерованные оформляются без выступа с отступом первой строки 1,25 см, с одинарным междустрочным интервалом, с пробелом после маркера/тире/номера.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Заголовки в целом разделов и структурных элементов документа (заголовки сведений о статье, заголовки основной части, «Список литературы») следует печатать (писать) симметрично тексту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bookmarkEnd w:id="1"/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bCs/>
        </w:rPr>
      </w:pPr>
      <w:r w:rsidRPr="003314BF">
        <w:rPr>
          <w:b/>
          <w:bCs/>
        </w:rPr>
        <w:t>Требования ГОСТ к оформлению списка литературы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i/>
        </w:rPr>
      </w:pPr>
      <w:r w:rsidRPr="003314BF">
        <w:rPr>
          <w:b/>
          <w:i/>
        </w:rPr>
        <w:t>Статьи из журналов и сборников: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i/>
        </w:rPr>
        <w:t>Адорно, Т. В.</w:t>
      </w:r>
      <w:r w:rsidRPr="003314BF">
        <w:t xml:space="preserve"> К логике социальных наук // Вопросы философии. —1992. — № 10. — С. 76–86.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r w:rsidRPr="003314BF">
        <w:rPr>
          <w:i/>
        </w:rPr>
        <w:t>Заголовок записи в ссылке может содержать имена одного, двух или трех авторов документа. Имена авторов, указанные в заголовке, могут не повторяться в сведениях об ответственности. Если авторов четыре и более, то заголовок не применяют (ГОСТ 7.80-2000).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i/>
          <w:lang w:val="en-US"/>
        </w:rPr>
        <w:lastRenderedPageBreak/>
        <w:t xml:space="preserve">Crawford P. J., Barrett </w:t>
      </w:r>
      <w:r w:rsidRPr="003314BF">
        <w:rPr>
          <w:i/>
        </w:rPr>
        <w:t>Т</w:t>
      </w:r>
      <w:r w:rsidRPr="003314BF">
        <w:rPr>
          <w:i/>
          <w:lang w:val="en-US"/>
        </w:rPr>
        <w:t>. P.</w:t>
      </w:r>
      <w:r w:rsidRPr="003314BF">
        <w:rPr>
          <w:lang w:val="en-US"/>
        </w:rPr>
        <w:t xml:space="preserve"> The reference librarian and the business professor: a strategic alliance that works // Ref. </w:t>
      </w:r>
      <w:proofErr w:type="spellStart"/>
      <w:r w:rsidRPr="003314BF">
        <w:t>Libr</w:t>
      </w:r>
      <w:proofErr w:type="spellEnd"/>
      <w:r w:rsidRPr="003314BF">
        <w:t xml:space="preserve">. — 1997. — </w:t>
      </w:r>
      <w:proofErr w:type="spellStart"/>
      <w:r w:rsidRPr="003314BF">
        <w:t>Vol</w:t>
      </w:r>
      <w:proofErr w:type="spellEnd"/>
      <w:r w:rsidRPr="003314BF">
        <w:t>. 3. — № 58. — P. 75–85.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i/>
        </w:rPr>
        <w:t>Корнилов, В. И.</w:t>
      </w:r>
      <w:r w:rsidRPr="003314BF">
        <w:t xml:space="preserve"> Турбулентный пограничный слой на теле вращения при периодическом </w:t>
      </w:r>
      <w:proofErr w:type="spellStart"/>
      <w:r w:rsidRPr="003314BF">
        <w:t>вдуве</w:t>
      </w:r>
      <w:proofErr w:type="spellEnd"/>
      <w:r w:rsidRPr="003314BF">
        <w:t>/отсосе // Теплофизика и аэромеханика. — 2006. — Т. 13. — № 3. — С. 369–385.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i/>
        </w:rPr>
        <w:t>Кузнецов, А. Ю.</w:t>
      </w:r>
      <w:r w:rsidRPr="003314BF">
        <w:t xml:space="preserve"> Консорциум — механизм организации подписки на электронные ресурсы // Российский фонд фундаментальных исследований: десять лет служения российской науке. — М.: Науч. мир, 2003. — С. 340–342.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i/>
        </w:rPr>
      </w:pPr>
      <w:r w:rsidRPr="003314BF">
        <w:rPr>
          <w:b/>
          <w:i/>
        </w:rPr>
        <w:t>Монографии: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i/>
        </w:rPr>
        <w:t>Тарасова, В. И.</w:t>
      </w:r>
      <w:r w:rsidRPr="003314BF">
        <w:t xml:space="preserve"> Политическая история Латинской Америки: учеб. для вузов. — 2-е изд. — М.: Проспект, 2006. — С. 305–412.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 xml:space="preserve">Философия культуры и философия науки: проблемы и гипотезы: </w:t>
      </w:r>
      <w:proofErr w:type="spellStart"/>
      <w:r w:rsidRPr="003314BF">
        <w:t>межвуз</w:t>
      </w:r>
      <w:proofErr w:type="spellEnd"/>
      <w:r w:rsidRPr="003314BF">
        <w:t>. сб. науч. тр. / Саратовский государственный университет; под ред. С. Ф. Мартыновича. — Саратов: Издательство Саратовского университета, 1999. —199 с.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proofErr w:type="spellStart"/>
      <w:r w:rsidRPr="003314BF">
        <w:rPr>
          <w:i/>
        </w:rPr>
        <w:t>Райзберг</w:t>
      </w:r>
      <w:proofErr w:type="spellEnd"/>
      <w:r w:rsidRPr="003314BF">
        <w:rPr>
          <w:i/>
        </w:rPr>
        <w:t> Б. А., Лозовский Л. Ш., Стародубцева Е. Б.</w:t>
      </w:r>
      <w:r w:rsidRPr="003314BF">
        <w:t xml:space="preserve"> Современный экономический словарь. — 5-е изд., </w:t>
      </w:r>
      <w:proofErr w:type="spellStart"/>
      <w:r w:rsidRPr="003314BF">
        <w:t>перераб</w:t>
      </w:r>
      <w:proofErr w:type="spellEnd"/>
      <w:r w:rsidRPr="003314BF">
        <w:t>. и доп. — М.: ИНФРА-М, 2006. — 494 с.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i/>
        </w:rPr>
      </w:pPr>
      <w:r w:rsidRPr="003314BF">
        <w:rPr>
          <w:b/>
          <w:i/>
        </w:rPr>
        <w:t>Авторефераты: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i/>
        </w:rPr>
        <w:t>Глухов, В. А.</w:t>
      </w:r>
      <w:r w:rsidRPr="003314BF">
        <w:t xml:space="preserve"> Исследование, разработка и построение системы электронной доставки документов в библиотеке: </w:t>
      </w:r>
      <w:proofErr w:type="spellStart"/>
      <w:r w:rsidRPr="003314BF">
        <w:t>автореф</w:t>
      </w:r>
      <w:proofErr w:type="spellEnd"/>
      <w:r w:rsidRPr="003314BF">
        <w:t xml:space="preserve">. </w:t>
      </w:r>
      <w:proofErr w:type="spellStart"/>
      <w:r w:rsidRPr="003314BF">
        <w:t>дис</w:t>
      </w:r>
      <w:proofErr w:type="spellEnd"/>
      <w:r w:rsidRPr="003314BF">
        <w:t>. канд. техн. наук. — Новосибирск, 2000. —18 с.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i/>
        </w:rPr>
      </w:pPr>
      <w:r w:rsidRPr="003314BF">
        <w:rPr>
          <w:b/>
          <w:i/>
        </w:rPr>
        <w:t>Диссертации: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proofErr w:type="spellStart"/>
      <w:r w:rsidRPr="003314BF">
        <w:rPr>
          <w:i/>
        </w:rPr>
        <w:t>Фенухин</w:t>
      </w:r>
      <w:proofErr w:type="spellEnd"/>
      <w:r w:rsidRPr="003314BF">
        <w:rPr>
          <w:i/>
        </w:rPr>
        <w:t>, В. И.</w:t>
      </w:r>
      <w:r w:rsidRPr="003314BF">
        <w:t xml:space="preserve"> Этнополитические конфликты в современной России: на примере Северо-Кавказского региона: </w:t>
      </w:r>
      <w:proofErr w:type="spellStart"/>
      <w:r w:rsidRPr="003314BF">
        <w:t>дис</w:t>
      </w:r>
      <w:proofErr w:type="spellEnd"/>
      <w:r w:rsidRPr="003314BF">
        <w:t>. канд. полит. наук. — М., 2002. — 454 с.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i/>
        </w:rPr>
      </w:pPr>
      <w:r w:rsidRPr="003314BF">
        <w:rPr>
          <w:b/>
          <w:i/>
        </w:rPr>
        <w:t>Аналитические обзоры: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 xml:space="preserve">Экономика и политика России и государств ближнего зарубежья: </w:t>
      </w:r>
      <w:proofErr w:type="spellStart"/>
      <w:r w:rsidRPr="003314BF">
        <w:t>аналит</w:t>
      </w:r>
      <w:proofErr w:type="spellEnd"/>
      <w:r w:rsidRPr="003314BF">
        <w:t xml:space="preserve">. обзор, апр. 2007 / Рос. акад. наук, Ин-т мировой экономики и </w:t>
      </w:r>
      <w:proofErr w:type="spellStart"/>
      <w:r w:rsidRPr="003314BF">
        <w:t>междунар</w:t>
      </w:r>
      <w:proofErr w:type="spellEnd"/>
      <w:r w:rsidRPr="003314BF">
        <w:t>. отношений. — М.: ИМЭМО, 2007. — 39 с.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i/>
        </w:rPr>
      </w:pPr>
      <w:r w:rsidRPr="003314BF">
        <w:rPr>
          <w:b/>
          <w:i/>
        </w:rPr>
        <w:t>Патенты: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>Патент РФ № 2000130511/28, 04.12.2000.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i/>
        </w:rPr>
        <w:t xml:space="preserve">Еськов Д. Н., </w:t>
      </w:r>
      <w:proofErr w:type="spellStart"/>
      <w:r w:rsidRPr="003314BF">
        <w:rPr>
          <w:i/>
        </w:rPr>
        <w:t>Бонштедт</w:t>
      </w:r>
      <w:proofErr w:type="spellEnd"/>
      <w:r w:rsidRPr="003314BF">
        <w:rPr>
          <w:i/>
        </w:rPr>
        <w:t xml:space="preserve"> Б. Э., </w:t>
      </w:r>
      <w:proofErr w:type="spellStart"/>
      <w:r w:rsidRPr="003314BF">
        <w:rPr>
          <w:i/>
        </w:rPr>
        <w:t>Корешев</w:t>
      </w:r>
      <w:proofErr w:type="spellEnd"/>
      <w:r w:rsidRPr="003314BF">
        <w:rPr>
          <w:i/>
        </w:rPr>
        <w:t> С. Н., Лебедева Г. И., Серегин А. Г.</w:t>
      </w:r>
      <w:r w:rsidRPr="003314BF">
        <w:t xml:space="preserve"> Оптико-электронный аппарат // Патент России № 2122745.1998. — </w:t>
      </w:r>
      <w:proofErr w:type="spellStart"/>
      <w:r w:rsidRPr="003314BF">
        <w:t>Бюл</w:t>
      </w:r>
      <w:proofErr w:type="spellEnd"/>
      <w:r w:rsidRPr="003314BF">
        <w:t>. № 33.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i/>
        </w:rPr>
      </w:pPr>
      <w:r w:rsidRPr="003314BF">
        <w:rPr>
          <w:b/>
          <w:i/>
        </w:rPr>
        <w:t>Материалы конференций: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 xml:space="preserve">Археология: история и перспективы: сб. ст. Первой </w:t>
      </w:r>
      <w:proofErr w:type="spellStart"/>
      <w:r w:rsidRPr="003314BF">
        <w:t>межрегион</w:t>
      </w:r>
      <w:proofErr w:type="spellEnd"/>
      <w:r w:rsidRPr="003314BF">
        <w:t xml:space="preserve">. </w:t>
      </w:r>
      <w:proofErr w:type="spellStart"/>
      <w:r w:rsidRPr="003314BF">
        <w:t>конф</w:t>
      </w:r>
      <w:proofErr w:type="spellEnd"/>
      <w:r w:rsidRPr="003314BF">
        <w:t>. — Ярославль, 2003. — 350 с.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i/>
        </w:rPr>
        <w:t>Марьинских, Д. М.</w:t>
      </w:r>
      <w:r w:rsidRPr="003314BF">
        <w:t xml:space="preserve">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3314BF">
        <w:t>докл</w:t>
      </w:r>
      <w:proofErr w:type="spellEnd"/>
      <w:r w:rsidRPr="003314BF">
        <w:t xml:space="preserve">. </w:t>
      </w:r>
      <w:proofErr w:type="spellStart"/>
      <w:r w:rsidRPr="003314BF">
        <w:t>Всерос</w:t>
      </w:r>
      <w:proofErr w:type="spellEnd"/>
      <w:r w:rsidRPr="003314BF">
        <w:t xml:space="preserve">. </w:t>
      </w:r>
      <w:proofErr w:type="spellStart"/>
      <w:r w:rsidRPr="003314BF">
        <w:t>конф</w:t>
      </w:r>
      <w:proofErr w:type="spellEnd"/>
      <w:r w:rsidRPr="003314BF">
        <w:t>. (Иркутск, 11-12 сент. 2000 г.). — Новосибирск, 2000. — С.125–128.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b/>
          <w:i/>
        </w:rPr>
      </w:pPr>
      <w:r w:rsidRPr="003314BF">
        <w:rPr>
          <w:b/>
          <w:i/>
        </w:rPr>
        <w:t>Интернет-документы:</w:t>
      </w:r>
    </w:p>
    <w:p w:rsidR="002C4419" w:rsidRPr="003314BF" w:rsidRDefault="002C4419" w:rsidP="002C4419">
      <w:pPr>
        <w:widowControl/>
        <w:spacing w:after="160" w:line="259" w:lineRule="auto"/>
        <w:ind w:firstLine="0"/>
        <w:rPr>
          <w:i/>
        </w:rPr>
      </w:pPr>
      <w:proofErr w:type="spellStart"/>
      <w:r w:rsidRPr="003314BF">
        <w:rPr>
          <w:i/>
        </w:rPr>
        <w:t>Литчфорд</w:t>
      </w:r>
      <w:proofErr w:type="spellEnd"/>
      <w:r w:rsidRPr="003314BF">
        <w:rPr>
          <w:i/>
        </w:rPr>
        <w:t xml:space="preserve">, Е. У. </w:t>
      </w:r>
      <w:r w:rsidRPr="003314BF">
        <w:t xml:space="preserve">С Белой Армией по Сибири // Восточный фронт Армии Генерала А. В. Колчака: сайт. — URL: </w:t>
      </w:r>
      <w:hyperlink r:id="rId7" w:history="1">
        <w:r w:rsidRPr="003314BF">
          <w:rPr>
            <w:rStyle w:val="a7"/>
          </w:rPr>
          <w:t>http://east-front.narod.ru/memo/latchford.htm</w:t>
        </w:r>
      </w:hyperlink>
      <w:r w:rsidRPr="003314BF">
        <w:t xml:space="preserve"> (дата обращения: 23.08.2007).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rPr>
          <w:i/>
        </w:rPr>
        <w:lastRenderedPageBreak/>
        <w:t>Логинова, Л. Г.</w:t>
      </w:r>
      <w:r w:rsidRPr="003314BF">
        <w:t xml:space="preserve"> Сущность результата дополнительного образования детей // Образование: исследовано в мире: </w:t>
      </w:r>
      <w:proofErr w:type="spellStart"/>
      <w:r w:rsidRPr="003314BF">
        <w:t>междунар</w:t>
      </w:r>
      <w:proofErr w:type="spellEnd"/>
      <w:r w:rsidRPr="003314BF">
        <w:t xml:space="preserve">. науч. пед. интернет-журн. — 21.10.03. — URL: </w:t>
      </w:r>
      <w:hyperlink r:id="rId8" w:history="1">
        <w:r w:rsidRPr="003314BF">
          <w:rPr>
            <w:rStyle w:val="a7"/>
          </w:rPr>
          <w:t>http://www.oim.ru/reader.asp?nomer=366</w:t>
        </w:r>
      </w:hyperlink>
      <w:r w:rsidRPr="003314BF">
        <w:t xml:space="preserve"> (дата обращения: 17.04.2007).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 xml:space="preserve">Официальные периодические издания: электронный путеводитель / Рос. нац. б-ка, Центр правовой информации. — СПб., 2005–2007. — URL: </w:t>
      </w:r>
      <w:hyperlink r:id="rId9" w:history="1">
        <w:r w:rsidRPr="003314BF">
          <w:rPr>
            <w:rStyle w:val="a7"/>
          </w:rPr>
          <w:t>http://www.nlr.ru/lawcenter/izd/index.html</w:t>
        </w:r>
      </w:hyperlink>
      <w:r w:rsidRPr="003314BF">
        <w:t xml:space="preserve"> (дата обращения: 18.01.2007).</w:t>
      </w:r>
    </w:p>
    <w:p w:rsidR="002C4419" w:rsidRPr="003314BF" w:rsidRDefault="002C4419" w:rsidP="002C4419">
      <w:pPr>
        <w:widowControl/>
        <w:spacing w:after="160" w:line="259" w:lineRule="auto"/>
        <w:ind w:firstLine="0"/>
      </w:pPr>
      <w:r w:rsidRPr="003314BF">
        <w:t xml:space="preserve">Рынок тренингов Новосибирска: своя игра. — </w:t>
      </w:r>
      <w:r w:rsidRPr="003314BF">
        <w:rPr>
          <w:lang w:val="en-US"/>
        </w:rPr>
        <w:t>URL</w:t>
      </w:r>
      <w:r w:rsidRPr="003314BF">
        <w:t xml:space="preserve">: </w:t>
      </w:r>
      <w:hyperlink r:id="rId10" w:history="1">
        <w:r w:rsidRPr="003314BF">
          <w:rPr>
            <w:rStyle w:val="a7"/>
          </w:rPr>
          <w:t>http://nsk.adme.ru/news/2006/07/03/2121.html</w:t>
        </w:r>
      </w:hyperlink>
      <w:r w:rsidRPr="003314BF">
        <w:t xml:space="preserve"> (дата обращения: 17.10. 2008).</w:t>
      </w:r>
    </w:p>
    <w:p w:rsidR="0043253F" w:rsidRDefault="0043253F" w:rsidP="00094A26">
      <w:pPr>
        <w:ind w:firstLine="0"/>
      </w:pPr>
    </w:p>
    <w:sectPr w:rsidR="0043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7159C"/>
    <w:multiLevelType w:val="hybridMultilevel"/>
    <w:tmpl w:val="F336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B6881"/>
    <w:multiLevelType w:val="hybridMultilevel"/>
    <w:tmpl w:val="4498E18C"/>
    <w:lvl w:ilvl="0" w:tplc="E376BC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30044"/>
    <w:multiLevelType w:val="multilevel"/>
    <w:tmpl w:val="DB863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2F0DBF"/>
    <w:multiLevelType w:val="multilevel"/>
    <w:tmpl w:val="B9BA85B0"/>
    <w:lvl w:ilvl="0">
      <w:start w:val="1"/>
      <w:numFmt w:val="decimal"/>
      <w:suff w:val="nothing"/>
      <w:lvlText w:val="Рисунок %1 — "/>
      <w:lvlJc w:val="center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 w16cid:durableId="1711145822">
    <w:abstractNumId w:val="3"/>
  </w:num>
  <w:num w:numId="2" w16cid:durableId="398865562">
    <w:abstractNumId w:val="3"/>
  </w:num>
  <w:num w:numId="3" w16cid:durableId="2025355039">
    <w:abstractNumId w:val="2"/>
  </w:num>
  <w:num w:numId="4" w16cid:durableId="1591155555">
    <w:abstractNumId w:val="1"/>
  </w:num>
  <w:num w:numId="5" w16cid:durableId="99753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19"/>
    <w:rsid w:val="00094A26"/>
    <w:rsid w:val="0011367C"/>
    <w:rsid w:val="00140052"/>
    <w:rsid w:val="002C4419"/>
    <w:rsid w:val="00324E2C"/>
    <w:rsid w:val="0042718A"/>
    <w:rsid w:val="0043253F"/>
    <w:rsid w:val="00442BA6"/>
    <w:rsid w:val="004947BB"/>
    <w:rsid w:val="009F73E7"/>
    <w:rsid w:val="00AB512D"/>
    <w:rsid w:val="00AC5BE1"/>
    <w:rsid w:val="00BD3140"/>
    <w:rsid w:val="00E1151F"/>
    <w:rsid w:val="00F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E04C"/>
  <w15:chartTrackingRefBased/>
  <w15:docId w15:val="{2B4968C1-2582-4A53-BE22-154576A1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C4419"/>
    <w:pPr>
      <w:widowControl w:val="0"/>
      <w:spacing w:after="0" w:line="240" w:lineRule="auto"/>
      <w:ind w:firstLine="709"/>
      <w:jc w:val="both"/>
    </w:pPr>
    <w:rPr>
      <w:rFonts w:ascii="Georgia" w:eastAsia="Calibri" w:hAnsi="Georgia" w:cs="Times New Roman"/>
    </w:rPr>
  </w:style>
  <w:style w:type="paragraph" w:styleId="1">
    <w:name w:val="heading 1"/>
    <w:basedOn w:val="a0"/>
    <w:next w:val="a0"/>
    <w:link w:val="10"/>
    <w:uiPriority w:val="9"/>
    <w:qFormat/>
    <w:rsid w:val="00E1151F"/>
    <w:pPr>
      <w:outlineLvl w:val="0"/>
    </w:pPr>
    <w:rPr>
      <w:rFonts w:eastAsiaTheme="majorEastAsia" w:cstheme="majorBidi"/>
      <w:b/>
      <w:szCs w:val="32"/>
      <w:u w:val="single"/>
    </w:rPr>
  </w:style>
  <w:style w:type="paragraph" w:styleId="2">
    <w:name w:val="heading 2"/>
    <w:basedOn w:val="1"/>
    <w:next w:val="a0"/>
    <w:link w:val="20"/>
    <w:uiPriority w:val="9"/>
    <w:unhideWhenUsed/>
    <w:qFormat/>
    <w:rsid w:val="0011367C"/>
    <w:pPr>
      <w:outlineLvl w:val="1"/>
    </w:pPr>
    <w:rPr>
      <w:u w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1151F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20">
    <w:name w:val="Заголовок 2 Знак"/>
    <w:basedOn w:val="a1"/>
    <w:link w:val="2"/>
    <w:uiPriority w:val="9"/>
    <w:rsid w:val="0011367C"/>
    <w:rPr>
      <w:rFonts w:ascii="Times New Roman" w:eastAsiaTheme="majorEastAsia" w:hAnsi="Times New Roman" w:cstheme="majorBidi"/>
      <w:b/>
      <w:sz w:val="24"/>
      <w:szCs w:val="32"/>
    </w:rPr>
  </w:style>
  <w:style w:type="paragraph" w:styleId="a4">
    <w:name w:val="Title"/>
    <w:basedOn w:val="a0"/>
    <w:link w:val="a5"/>
    <w:uiPriority w:val="10"/>
    <w:qFormat/>
    <w:rsid w:val="004947BB"/>
    <w:pPr>
      <w:keepLines/>
      <w:ind w:firstLine="0"/>
      <w:jc w:val="center"/>
    </w:pPr>
    <w:rPr>
      <w:noProof/>
      <w:lang w:eastAsia="ru-RU"/>
    </w:rPr>
  </w:style>
  <w:style w:type="character" w:customStyle="1" w:styleId="a5">
    <w:name w:val="Заголовок Знак"/>
    <w:basedOn w:val="a1"/>
    <w:link w:val="a4"/>
    <w:uiPriority w:val="10"/>
    <w:rsid w:val="004947BB"/>
    <w:rPr>
      <w:rFonts w:ascii="Times New Roman" w:hAnsi="Times New Roman"/>
      <w:noProof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42718A"/>
    <w:pPr>
      <w:spacing w:after="100" w:line="360" w:lineRule="auto"/>
      <w:jc w:val="left"/>
    </w:pPr>
    <w:rPr>
      <w:sz w:val="28"/>
    </w:rPr>
  </w:style>
  <w:style w:type="paragraph" w:styleId="21">
    <w:name w:val="toc 2"/>
    <w:basedOn w:val="a0"/>
    <w:next w:val="a0"/>
    <w:autoRedefine/>
    <w:uiPriority w:val="39"/>
    <w:semiHidden/>
    <w:unhideWhenUsed/>
    <w:rsid w:val="0042718A"/>
    <w:pPr>
      <w:spacing w:after="100" w:line="360" w:lineRule="auto"/>
      <w:ind w:left="280"/>
      <w:jc w:val="left"/>
    </w:pPr>
    <w:rPr>
      <w:sz w:val="28"/>
    </w:rPr>
  </w:style>
  <w:style w:type="paragraph" w:styleId="a">
    <w:name w:val="Note Heading"/>
    <w:aliases w:val="Подрисуночная подпись"/>
    <w:basedOn w:val="a0"/>
    <w:next w:val="a0"/>
    <w:link w:val="a6"/>
    <w:uiPriority w:val="99"/>
    <w:unhideWhenUsed/>
    <w:qFormat/>
    <w:rsid w:val="00BD3140"/>
    <w:pPr>
      <w:numPr>
        <w:numId w:val="3"/>
      </w:numPr>
      <w:spacing w:line="360" w:lineRule="auto"/>
      <w:ind w:firstLine="0"/>
      <w:jc w:val="center"/>
    </w:pPr>
    <w:rPr>
      <w:sz w:val="28"/>
      <w:lang w:eastAsia="ru-RU"/>
    </w:rPr>
  </w:style>
  <w:style w:type="character" w:customStyle="1" w:styleId="a6">
    <w:name w:val="Заголовок записки Знак"/>
    <w:aliases w:val="Подрисуночная подпись Знак"/>
    <w:basedOn w:val="a1"/>
    <w:link w:val="a"/>
    <w:uiPriority w:val="99"/>
    <w:rsid w:val="00BD3140"/>
    <w:rPr>
      <w:rFonts w:ascii="Times New Roman" w:hAnsi="Times New Roman"/>
      <w:sz w:val="28"/>
      <w:lang w:eastAsia="ru-RU"/>
    </w:rPr>
  </w:style>
  <w:style w:type="character" w:styleId="a7">
    <w:name w:val="Hyperlink"/>
    <w:uiPriority w:val="99"/>
    <w:unhideWhenUsed/>
    <w:rsid w:val="002C44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m.ru/reader.asp?nomer=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t-front.narod.ru/memo/latchfor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nsk.adme.ru/news/2006/07/03/21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lr.ru/lawcenter/iz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Ефимец</cp:lastModifiedBy>
  <cp:revision>3</cp:revision>
  <dcterms:created xsi:type="dcterms:W3CDTF">2024-02-15T05:13:00Z</dcterms:created>
  <dcterms:modified xsi:type="dcterms:W3CDTF">2024-02-22T04:56:00Z</dcterms:modified>
</cp:coreProperties>
</file>